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B408" w14:textId="77777777" w:rsidR="00F732D6" w:rsidRDefault="00F732D6">
      <w:pPr>
        <w:rPr>
          <w:rFonts w:hint="eastAsia"/>
          <w:b/>
          <w:bCs/>
          <w:sz w:val="32"/>
          <w:szCs w:val="32"/>
        </w:rPr>
      </w:pPr>
      <w:r>
        <w:rPr>
          <w:b/>
          <w:bCs/>
          <w:noProof/>
          <w:sz w:val="32"/>
          <w:szCs w:val="32"/>
          <w:lang w:eastAsia="de-AT" w:bidi="ar-SA"/>
        </w:rPr>
        <w:drawing>
          <wp:anchor distT="0" distB="0" distL="114300" distR="114300" simplePos="0" relativeHeight="251658240" behindDoc="0" locked="0" layoutInCell="1" allowOverlap="1" wp14:anchorId="4B1BAC41" wp14:editId="7FAC1E17">
            <wp:simplePos x="0" y="0"/>
            <wp:positionH relativeFrom="column">
              <wp:posOffset>3337560</wp:posOffset>
            </wp:positionH>
            <wp:positionV relativeFrom="paragraph">
              <wp:posOffset>-434340</wp:posOffset>
            </wp:positionV>
            <wp:extent cx="2715895" cy="904875"/>
            <wp:effectExtent l="19050" t="0" r="8255" b="0"/>
            <wp:wrapNone/>
            <wp:docPr id="1" name="Grafik 0" descr="WO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EP-Logo.jpg"/>
                    <pic:cNvPicPr/>
                  </pic:nvPicPr>
                  <pic:blipFill>
                    <a:blip r:embed="rId4" cstate="print"/>
                    <a:stretch>
                      <a:fillRect/>
                    </a:stretch>
                  </pic:blipFill>
                  <pic:spPr>
                    <a:xfrm>
                      <a:off x="0" y="0"/>
                      <a:ext cx="2715895" cy="904875"/>
                    </a:xfrm>
                    <a:prstGeom prst="rect">
                      <a:avLst/>
                    </a:prstGeom>
                  </pic:spPr>
                </pic:pic>
              </a:graphicData>
            </a:graphic>
          </wp:anchor>
        </w:drawing>
      </w:r>
    </w:p>
    <w:p w14:paraId="05074943" w14:textId="77777777" w:rsidR="00F732D6" w:rsidRDefault="00F732D6">
      <w:pPr>
        <w:rPr>
          <w:rFonts w:hint="eastAsia"/>
          <w:b/>
          <w:bCs/>
          <w:sz w:val="32"/>
          <w:szCs w:val="32"/>
        </w:rPr>
      </w:pPr>
    </w:p>
    <w:p w14:paraId="03924538" w14:textId="77777777" w:rsidR="00F732D6" w:rsidRDefault="00F732D6">
      <w:pPr>
        <w:rPr>
          <w:rFonts w:hint="eastAsia"/>
          <w:b/>
          <w:bCs/>
          <w:sz w:val="32"/>
          <w:szCs w:val="32"/>
        </w:rPr>
      </w:pPr>
    </w:p>
    <w:p w14:paraId="1D761976" w14:textId="77777777" w:rsidR="00073B9F" w:rsidRDefault="00B6592A">
      <w:pPr>
        <w:rPr>
          <w:rFonts w:hint="eastAsia"/>
          <w:b/>
          <w:bCs/>
          <w:sz w:val="32"/>
          <w:szCs w:val="32"/>
        </w:rPr>
      </w:pPr>
      <w:r>
        <w:rPr>
          <w:b/>
          <w:bCs/>
          <w:sz w:val="32"/>
          <w:szCs w:val="32"/>
        </w:rPr>
        <w:t>Maßnahmenkatalog: Biodiversität im</w:t>
      </w:r>
      <w:r w:rsidR="00F732D6">
        <w:rPr>
          <w:b/>
          <w:bCs/>
          <w:sz w:val="32"/>
          <w:szCs w:val="32"/>
        </w:rPr>
        <w:t xml:space="preserve"> </w:t>
      </w:r>
      <w:r>
        <w:rPr>
          <w:b/>
          <w:bCs/>
          <w:sz w:val="32"/>
          <w:szCs w:val="32"/>
        </w:rPr>
        <w:t>Wald erhalten und fördern</w:t>
      </w:r>
    </w:p>
    <w:p w14:paraId="56BB8C79" w14:textId="77777777" w:rsidR="00073B9F" w:rsidRDefault="00073B9F">
      <w:pPr>
        <w:rPr>
          <w:rFonts w:hint="eastAsia"/>
        </w:rPr>
      </w:pPr>
    </w:p>
    <w:p w14:paraId="7408D82B" w14:textId="77777777" w:rsidR="00073B9F" w:rsidRDefault="00B6592A">
      <w:pPr>
        <w:rPr>
          <w:rFonts w:hint="eastAsia"/>
        </w:rPr>
      </w:pPr>
      <w:r>
        <w:rPr>
          <w:b/>
          <w:bCs/>
        </w:rPr>
        <w:t xml:space="preserve">Expertinnen und Experten des Bundesforschungszentrums für Wald haben gemeinsam mit Vertreter*innen der Forstwirtschaft und des Naturschutzes einen Maßnahmenkatalog erarbeitet, mit dem die Biodiversität im Wald gezielt erhalten und gefördert werden kann. Auf Basis einer umfangreichen Literaturrecherche wurden Indikatoren für die biologische Vielfalt in Waldökosystemen definiert und deren Verbindung zu Waldbewirtschaftungsmaßnahmen hergestellt. 14 Maßnahmen zur Förderung der Biodiversität werden vorgestellt, wie beispielsweise die Schaffung horizontaler und vertikaler Strukturvielfalt, standortsangepasste Baumartenwahl und  </w:t>
      </w:r>
      <w:r w:rsidR="00C5055D" w:rsidRPr="00281664">
        <w:rPr>
          <w:rFonts w:hint="eastAsia"/>
          <w:b/>
          <w:bCs/>
        </w:rPr>
        <w:t>der</w:t>
      </w:r>
      <w:r>
        <w:rPr>
          <w:b/>
          <w:bCs/>
        </w:rPr>
        <w:t xml:space="preserve"> Schutz von Habitatbäumen und Baumveteranen. Die Broschüre kann auf der BFW-Website </w:t>
      </w:r>
      <w:hyperlink r:id="rId5">
        <w:r>
          <w:rPr>
            <w:rStyle w:val="Internetverknpfung"/>
            <w:b/>
            <w:bCs/>
          </w:rPr>
          <w:t>www.bfw.gv.at</w:t>
        </w:r>
      </w:hyperlink>
      <w:r>
        <w:rPr>
          <w:b/>
          <w:bCs/>
        </w:rPr>
        <w:t xml:space="preserve"> heruntergeladen werden.  </w:t>
      </w:r>
    </w:p>
    <w:p w14:paraId="1259DE23" w14:textId="77777777" w:rsidR="00073B9F" w:rsidRDefault="00073B9F">
      <w:pPr>
        <w:rPr>
          <w:rFonts w:hint="eastAsia"/>
        </w:rPr>
      </w:pPr>
    </w:p>
    <w:p w14:paraId="1CABA994" w14:textId="412C4CC8" w:rsidR="00073B9F" w:rsidRDefault="00276D43">
      <w:pPr>
        <w:rPr>
          <w:rFonts w:hint="eastAsia"/>
        </w:rPr>
      </w:pPr>
      <w:r w:rsidRPr="00276D43">
        <w:rPr>
          <w:rFonts w:ascii="PTSerif-Regular" w:hAnsi="PTSerif-Regular" w:hint="eastAsia"/>
        </w:rPr>
        <w:t xml:space="preserve">Weltweit ist mehr als die Hälfte der Biodiversität in Wäldern zu finden. Auch in Österreich schätzen Experten, dass rund zwei Drittel aller heimischen Arten in Wäldern vorkommen. Bei der </w:t>
      </w:r>
      <w:r w:rsidRPr="00D7780D">
        <w:rPr>
          <w:rFonts w:ascii="PTSerif-Regular" w:hAnsi="PTSerif-Regular" w:hint="eastAsia"/>
        </w:rPr>
        <w:t>Bewirtschaftung der Wälder kann mit einzelnen Maßnahmen viel f</w:t>
      </w:r>
      <w:r w:rsidRPr="00D7780D">
        <w:rPr>
          <w:rFonts w:ascii="PTSerif-Regular" w:hAnsi="PTSerif-Regular"/>
        </w:rPr>
        <w:t>ü</w:t>
      </w:r>
      <w:r w:rsidRPr="00D7780D">
        <w:rPr>
          <w:rFonts w:ascii="PTSerif-Regular" w:hAnsi="PTSerif-Regular" w:hint="eastAsia"/>
        </w:rPr>
        <w:t xml:space="preserve">r einzelne Arten oder Lebensräume getan werden. So ist etwa der Sperlingskauz auf eine hohe vertikale und horizontale Strukturierung der Wälder angewiesen, deshalb gilt </w:t>
      </w:r>
      <w:r w:rsidR="00D7780D" w:rsidRPr="00D7780D">
        <w:rPr>
          <w:rFonts w:ascii="PTSerif-Regular" w:hAnsi="PTSerif-Regular"/>
        </w:rPr>
        <w:t xml:space="preserve">er </w:t>
      </w:r>
      <w:r w:rsidRPr="00D7780D">
        <w:rPr>
          <w:rFonts w:ascii="PTSerif-Regular" w:hAnsi="PTSerif-Regular" w:hint="eastAsia"/>
        </w:rPr>
        <w:t>als guter Indikator f</w:t>
      </w:r>
      <w:r w:rsidRPr="00D7780D">
        <w:rPr>
          <w:rFonts w:ascii="PTSerif-Regular" w:hAnsi="PTSerif-Regular"/>
        </w:rPr>
        <w:t>ü</w:t>
      </w:r>
      <w:r w:rsidRPr="00D7780D">
        <w:rPr>
          <w:rFonts w:ascii="PTSerif-Regular" w:hAnsi="PTSerif-Regular" w:hint="eastAsia"/>
        </w:rPr>
        <w:t>r artenreiche Vogelgemeinschaften.</w:t>
      </w:r>
      <w:r w:rsidRPr="00276D43">
        <w:rPr>
          <w:rFonts w:ascii="PTSerif-Regular" w:hAnsi="PTSerif-Regular" w:hint="eastAsia"/>
        </w:rPr>
        <w:t xml:space="preserve"> Oder Bäume mit Mikrohabitaten</w:t>
      </w:r>
      <w:r w:rsidR="005047DC">
        <w:rPr>
          <w:rFonts w:ascii="PTSerif-Regular" w:hAnsi="PTSerif-Regular"/>
        </w:rPr>
        <w:t xml:space="preserve"> belassen</w:t>
      </w:r>
      <w:r w:rsidRPr="00276D43">
        <w:rPr>
          <w:rFonts w:ascii="PTSerif-Regular" w:hAnsi="PTSerif-Regular" w:hint="eastAsia"/>
        </w:rPr>
        <w:t>: Mit Wasser gef</w:t>
      </w:r>
      <w:r>
        <w:rPr>
          <w:rFonts w:ascii="PTSerif-Regular" w:hAnsi="PTSerif-Regular"/>
        </w:rPr>
        <w:t>ü</w:t>
      </w:r>
      <w:r w:rsidRPr="00276D43">
        <w:rPr>
          <w:rFonts w:ascii="PTSerif-Regular" w:hAnsi="PTSerif-Regular" w:hint="eastAsia"/>
        </w:rPr>
        <w:t>llte Baumhöhlen stellen Lebensräume f</w:t>
      </w:r>
      <w:r>
        <w:rPr>
          <w:rFonts w:ascii="PTSerif-Regular" w:hAnsi="PTSerif-Regular"/>
        </w:rPr>
        <w:t>ü</w:t>
      </w:r>
      <w:r w:rsidRPr="00276D43">
        <w:rPr>
          <w:rFonts w:ascii="PTSerif-Regular" w:hAnsi="PTSerif-Regular" w:hint="eastAsia"/>
        </w:rPr>
        <w:t xml:space="preserve">r Insektenlarven und andere Wasserorganismen im Wald dar. Im Bestand kann so die Vielfalt an Insektengemeinschaften gefördert werden. Von der Förderung ungleichalter Bestände bei geschlossenem Kronendach profitieren schattentolerante Mischbaumarten (Rotbuche, Weißtanne, Hainbuche, Linde). Dies kann beim </w:t>
      </w:r>
      <w:proofErr w:type="spellStart"/>
      <w:r w:rsidRPr="00276D43">
        <w:rPr>
          <w:rFonts w:ascii="PTSerif-Regular" w:hAnsi="PTSerif-Regular" w:hint="eastAsia"/>
        </w:rPr>
        <w:t>Voranbau</w:t>
      </w:r>
      <w:proofErr w:type="spellEnd"/>
      <w:r w:rsidRPr="00276D43">
        <w:rPr>
          <w:rFonts w:ascii="PTSerif-Regular" w:hAnsi="PTSerif-Regular" w:hint="eastAsia"/>
        </w:rPr>
        <w:t xml:space="preserve"> dieser Mischbaumarten oder dem fr</w:t>
      </w:r>
      <w:r>
        <w:rPr>
          <w:rFonts w:ascii="PTSerif-Regular" w:hAnsi="PTSerif-Regular"/>
        </w:rPr>
        <w:t>ü</w:t>
      </w:r>
      <w:r w:rsidRPr="00276D43">
        <w:rPr>
          <w:rFonts w:ascii="PTSerif-Regular" w:hAnsi="PTSerif-Regular" w:hint="eastAsia"/>
        </w:rPr>
        <w:t>hzeitigen Einleiten der Verj</w:t>
      </w:r>
      <w:r>
        <w:rPr>
          <w:rFonts w:ascii="PTSerif-Regular" w:hAnsi="PTSerif-Regular"/>
        </w:rPr>
        <w:t>ü</w:t>
      </w:r>
      <w:r w:rsidRPr="00276D43">
        <w:rPr>
          <w:rFonts w:ascii="PTSerif-Regular" w:hAnsi="PTSerif-Regular" w:hint="eastAsia"/>
        </w:rPr>
        <w:t xml:space="preserve">ngung genutzt werden.  </w:t>
      </w:r>
      <w:r w:rsidR="00B6592A">
        <w:rPr>
          <w:rFonts w:ascii="PTSerif-Regular" w:hAnsi="PTSerif-Regular"/>
          <w:color w:val="3B3B3A"/>
        </w:rPr>
        <w:t xml:space="preserve">  </w:t>
      </w:r>
    </w:p>
    <w:p w14:paraId="00954379" w14:textId="77777777" w:rsidR="00073B9F" w:rsidRDefault="00073B9F">
      <w:pPr>
        <w:rPr>
          <w:rFonts w:ascii="PTSerif-Regular" w:hAnsi="PTSerif-Regular" w:hint="eastAsia"/>
        </w:rPr>
      </w:pPr>
    </w:p>
    <w:p w14:paraId="794A2EFA" w14:textId="77777777" w:rsidR="00073B9F" w:rsidRDefault="00B6592A">
      <w:pPr>
        <w:rPr>
          <w:rFonts w:hint="eastAsia"/>
          <w:b/>
          <w:bCs/>
        </w:rPr>
      </w:pPr>
      <w:r>
        <w:rPr>
          <w:b/>
          <w:bCs/>
        </w:rPr>
        <w:t>Bewirtschaftungsmaßnahmen und Waldmonitoring</w:t>
      </w:r>
    </w:p>
    <w:p w14:paraId="2DF92B9A" w14:textId="77777777" w:rsidR="00276D43" w:rsidRDefault="00276D43" w:rsidP="00276D43">
      <w:pPr>
        <w:rPr>
          <w:rFonts w:hint="eastAsia"/>
        </w:rPr>
      </w:pPr>
      <w:r>
        <w:rPr>
          <w:rFonts w:hint="eastAsia"/>
        </w:rPr>
        <w:t>Mit dieser Brosch</w:t>
      </w:r>
      <w:r>
        <w:t>ü</w:t>
      </w:r>
      <w:r>
        <w:rPr>
          <w:rFonts w:hint="eastAsia"/>
        </w:rPr>
        <w:t>re wird den Waldbewirtschafterinnen und Waldbewirtschafter eine gezielte Auswahl von Maßnahmen zur bewussten Erhaltung und auch Entwicklung der Biodiversität f</w:t>
      </w:r>
      <w:r>
        <w:t>ü</w:t>
      </w:r>
      <w:r>
        <w:rPr>
          <w:rFonts w:hint="eastAsia"/>
        </w:rPr>
        <w:t>r ihre Wälder angeboten. Zu beachten ist: Nicht jede Maßnahme ist vorbehaltlos f</w:t>
      </w:r>
      <w:r>
        <w:t>ü</w:t>
      </w:r>
      <w:r>
        <w:rPr>
          <w:rFonts w:hint="eastAsia"/>
        </w:rPr>
        <w:t xml:space="preserve">r jeden </w:t>
      </w:r>
      <w:proofErr w:type="spellStart"/>
      <w:r>
        <w:rPr>
          <w:rFonts w:hint="eastAsia"/>
        </w:rPr>
        <w:t>Waldtyp</w:t>
      </w:r>
      <w:proofErr w:type="spellEnd"/>
      <w:r>
        <w:rPr>
          <w:rFonts w:hint="eastAsia"/>
        </w:rPr>
        <w:t xml:space="preserve"> eignet. Im Rahmen einer individuellen Abwägung der Sinnhaftigkeit und Umsetzbarkeit ist die Bewirtschaftungsgeschichte ebenso zu ber</w:t>
      </w:r>
      <w:r>
        <w:t>ü</w:t>
      </w:r>
      <w:r>
        <w:rPr>
          <w:rFonts w:hint="eastAsia"/>
        </w:rPr>
        <w:t>cksichtigen, wie der aktuelle Zustand und die langfristige waldbauliche Zielsetzung. Maßnahmen, die einen besonderen  Beitrag leisten, um die Wälder an den Klimawandel anzupassen oder die Anpassungsfähigkeit an den Klimawandel zu erhöhen, werden speziell hervorgehoben.</w:t>
      </w:r>
    </w:p>
    <w:p w14:paraId="4B0A7ED9" w14:textId="77777777" w:rsidR="00276D43" w:rsidRDefault="00276D43" w:rsidP="00276D43">
      <w:pPr>
        <w:rPr>
          <w:rFonts w:hint="eastAsia"/>
        </w:rPr>
      </w:pPr>
    </w:p>
    <w:p w14:paraId="6CB124BE" w14:textId="77777777" w:rsidR="00073B9F" w:rsidRDefault="00276D43" w:rsidP="00276D43">
      <w:pPr>
        <w:rPr>
          <w:rFonts w:hint="eastAsia"/>
        </w:rPr>
      </w:pPr>
      <w:r>
        <w:rPr>
          <w:rFonts w:hint="eastAsia"/>
        </w:rPr>
        <w:t>Dar</w:t>
      </w:r>
      <w:r>
        <w:t>ü</w:t>
      </w:r>
      <w:r>
        <w:rPr>
          <w:rFonts w:hint="eastAsia"/>
        </w:rPr>
        <w:t>ber hinaus empfiehlt die Brosch</w:t>
      </w:r>
      <w:r>
        <w:t>ü</w:t>
      </w:r>
      <w:r>
        <w:rPr>
          <w:rFonts w:hint="eastAsia"/>
        </w:rPr>
        <w:t>re ein Waldmonitoring, wie es im Rahmen der Österreichischen Waldinventur durchgef</w:t>
      </w:r>
      <w:r>
        <w:t>ü</w:t>
      </w:r>
      <w:r>
        <w:rPr>
          <w:rFonts w:hint="eastAsia"/>
        </w:rPr>
        <w:t>hrt wird, um die langfristigen Auswirkungen zu beurteilen. Das Waldmonitoring ber</w:t>
      </w:r>
      <w:r>
        <w:t>ü</w:t>
      </w:r>
      <w:r>
        <w:rPr>
          <w:rFonts w:hint="eastAsia"/>
        </w:rPr>
        <w:t>cksichtigt Parameter der Waldstruktur, der Bewirtschaftung, Artengruppen und die strukturellen Elemente der Biodiversität auf Landschaftsebene.</w:t>
      </w:r>
    </w:p>
    <w:p w14:paraId="62DB8C06" w14:textId="77777777" w:rsidR="00276D43" w:rsidRDefault="00276D43" w:rsidP="00276D43">
      <w:pPr>
        <w:rPr>
          <w:rFonts w:hint="eastAsia"/>
        </w:rPr>
      </w:pPr>
    </w:p>
    <w:p w14:paraId="1B97BDE4" w14:textId="77777777" w:rsidR="00073B9F" w:rsidRDefault="00B6592A">
      <w:pPr>
        <w:rPr>
          <w:rFonts w:hint="eastAsia"/>
          <w:b/>
          <w:bCs/>
        </w:rPr>
      </w:pPr>
      <w:r>
        <w:rPr>
          <w:b/>
          <w:bCs/>
        </w:rPr>
        <w:t>Download</w:t>
      </w:r>
    </w:p>
    <w:p w14:paraId="275C8309" w14:textId="77777777" w:rsidR="00073B9F" w:rsidRDefault="00B6592A">
      <w:pPr>
        <w:rPr>
          <w:rFonts w:hint="eastAsia"/>
        </w:rPr>
      </w:pPr>
      <w:r>
        <w:t xml:space="preserve">Maßnahmenkatalog: Managementindikatoren zur Erhaltung und Förderung der Biodiversität in österreichischen Wäldern - </w:t>
      </w:r>
      <w:hyperlink>
        <w:r w:rsidRPr="006144CE">
          <w:rPr>
            <w:rStyle w:val="Internetverknpfung"/>
          </w:rPr>
          <w:t>https://www.bfw.gv.at/waldoekologische-serviceplattform</w:t>
        </w:r>
      </w:hyperlink>
      <w:r w:rsidR="009C7982">
        <w:t xml:space="preserve"> und </w:t>
      </w:r>
      <w:hyperlink r:id="rId6" w:history="1">
        <w:r w:rsidR="004114C0" w:rsidRPr="00B53284">
          <w:rPr>
            <w:rStyle w:val="Hyperlink"/>
          </w:rPr>
          <w:t>www.biosa.at</w:t>
        </w:r>
      </w:hyperlink>
    </w:p>
    <w:p w14:paraId="231BB462" w14:textId="77777777" w:rsidR="004114C0" w:rsidRDefault="004114C0">
      <w:pPr>
        <w:rPr>
          <w:rFonts w:hint="eastAsia"/>
        </w:rPr>
      </w:pPr>
    </w:p>
    <w:p w14:paraId="78E3CB58" w14:textId="77777777" w:rsidR="002D6858" w:rsidRDefault="002D6858">
      <w:pPr>
        <w:rPr>
          <w:rFonts w:hint="eastAsia"/>
        </w:rPr>
      </w:pPr>
    </w:p>
    <w:p w14:paraId="55FCF491" w14:textId="77777777" w:rsidR="00073B9F" w:rsidRDefault="002D6858">
      <w:pPr>
        <w:rPr>
          <w:rFonts w:hint="eastAsia"/>
        </w:rPr>
      </w:pPr>
      <w:r w:rsidRPr="002D6858">
        <w:rPr>
          <w:rFonts w:hint="eastAsia"/>
          <w:noProof/>
          <w:lang w:eastAsia="de-AT" w:bidi="ar-SA"/>
        </w:rPr>
        <w:lastRenderedPageBreak/>
        <w:drawing>
          <wp:inline distT="0" distB="0" distL="0" distR="0" wp14:anchorId="090B4874" wp14:editId="10E7336E">
            <wp:extent cx="4195487" cy="742950"/>
            <wp:effectExtent l="19050" t="0" r="0" b="0"/>
            <wp:docPr id="5" name="Grafik 3" descr="3_Foeg_Leiste_BundELERLaenderEU_2020_RGB-768x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Foeg_Leiste_BundELERLaenderEU_2020_RGB-768x136.jpg"/>
                    <pic:cNvPicPr/>
                  </pic:nvPicPr>
                  <pic:blipFill>
                    <a:blip r:embed="rId7" cstate="print"/>
                    <a:stretch>
                      <a:fillRect/>
                    </a:stretch>
                  </pic:blipFill>
                  <pic:spPr>
                    <a:xfrm>
                      <a:off x="0" y="0"/>
                      <a:ext cx="4194804" cy="742829"/>
                    </a:xfrm>
                    <a:prstGeom prst="rect">
                      <a:avLst/>
                    </a:prstGeom>
                  </pic:spPr>
                </pic:pic>
              </a:graphicData>
            </a:graphic>
          </wp:inline>
        </w:drawing>
      </w:r>
    </w:p>
    <w:p w14:paraId="643F336B" w14:textId="77777777" w:rsidR="002A0D42" w:rsidRDefault="002A0D42">
      <w:pPr>
        <w:rPr>
          <w:rFonts w:hint="eastAsia"/>
          <w:u w:val="single"/>
          <w:lang w:val="en-GB"/>
        </w:rPr>
      </w:pPr>
    </w:p>
    <w:p w14:paraId="67A47A6B" w14:textId="77777777" w:rsidR="00D87655" w:rsidRPr="006E5C7B" w:rsidRDefault="00D87655">
      <w:pPr>
        <w:rPr>
          <w:rFonts w:hint="eastAsia"/>
          <w:u w:val="single"/>
          <w:lang w:val="en-GB"/>
        </w:rPr>
      </w:pPr>
      <w:r w:rsidRPr="006E5C7B">
        <w:rPr>
          <w:rFonts w:hint="eastAsia"/>
          <w:u w:val="single"/>
          <w:lang w:val="en-GB"/>
        </w:rPr>
        <w:t>P</w:t>
      </w:r>
      <w:r w:rsidRPr="006E5C7B">
        <w:rPr>
          <w:u w:val="single"/>
          <w:lang w:val="en-GB"/>
        </w:rPr>
        <w:t>eer-</w:t>
      </w:r>
      <w:proofErr w:type="spellStart"/>
      <w:r w:rsidRPr="006E5C7B">
        <w:rPr>
          <w:u w:val="single"/>
          <w:lang w:val="en-GB"/>
        </w:rPr>
        <w:t>reviewte</w:t>
      </w:r>
      <w:proofErr w:type="spellEnd"/>
      <w:r w:rsidRPr="006E5C7B">
        <w:rPr>
          <w:u w:val="single"/>
          <w:lang w:val="en-GB"/>
        </w:rPr>
        <w:t xml:space="preserve"> </w:t>
      </w:r>
      <w:proofErr w:type="spellStart"/>
      <w:r w:rsidRPr="006E5C7B">
        <w:rPr>
          <w:u w:val="single"/>
          <w:lang w:val="en-GB"/>
        </w:rPr>
        <w:t>Artikel</w:t>
      </w:r>
      <w:proofErr w:type="spellEnd"/>
      <w:r w:rsidRPr="006E5C7B">
        <w:rPr>
          <w:u w:val="single"/>
          <w:lang w:val="en-GB"/>
        </w:rPr>
        <w:t xml:space="preserve"> </w:t>
      </w:r>
      <w:proofErr w:type="spellStart"/>
      <w:r w:rsidRPr="006E5C7B">
        <w:rPr>
          <w:u w:val="single"/>
          <w:lang w:val="en-GB"/>
        </w:rPr>
        <w:t>dazu</w:t>
      </w:r>
      <w:proofErr w:type="spellEnd"/>
      <w:r w:rsidRPr="006E5C7B">
        <w:rPr>
          <w:u w:val="single"/>
          <w:lang w:val="en-GB"/>
        </w:rPr>
        <w:t xml:space="preserve">: </w:t>
      </w:r>
    </w:p>
    <w:p w14:paraId="2BF93FF3" w14:textId="77777777" w:rsidR="00276D43" w:rsidRPr="00276D43" w:rsidRDefault="00276D43" w:rsidP="00276D43">
      <w:pPr>
        <w:rPr>
          <w:rFonts w:hint="eastAsia"/>
          <w:lang w:val="en-GB"/>
        </w:rPr>
      </w:pPr>
      <w:r>
        <w:rPr>
          <w:lang w:val="en-GB"/>
        </w:rPr>
        <w:t>Janine Oettel &amp; Katharina Lapin (2021): Linking forest management and biodiversity indicators to strengthen sustainable forest management in Europe. Ecological I</w:t>
      </w:r>
      <w:r>
        <w:rPr>
          <w:rFonts w:hint="eastAsia"/>
          <w:lang w:val="en-GB"/>
        </w:rPr>
        <w:t>n</w:t>
      </w:r>
      <w:r>
        <w:rPr>
          <w:lang w:val="en-GB"/>
        </w:rPr>
        <w:t>dicators 122:107275.</w:t>
      </w:r>
      <w:r w:rsidRPr="00BE4EB5">
        <w:rPr>
          <w:lang w:val="en-GB"/>
        </w:rPr>
        <w:t xml:space="preserve"> </w:t>
      </w:r>
      <w:hyperlink r:id="rId8" w:tgtFrame="_blank" w:tooltip="Persistent link using digital object identifier" w:history="1">
        <w:r w:rsidRPr="00276D43">
          <w:rPr>
            <w:rStyle w:val="Hyperlink"/>
            <w:lang w:val="en-GB"/>
          </w:rPr>
          <w:t>https://doi.org/10.1016/j.ecolind.2020.107275</w:t>
        </w:r>
      </w:hyperlink>
    </w:p>
    <w:p w14:paraId="14172865" w14:textId="77777777" w:rsidR="00276D43" w:rsidRPr="00276D43" w:rsidRDefault="00276D43" w:rsidP="00276D43">
      <w:pPr>
        <w:rPr>
          <w:rFonts w:hint="eastAsia"/>
          <w:lang w:val="en-GB"/>
        </w:rPr>
      </w:pPr>
    </w:p>
    <w:p w14:paraId="5775595F" w14:textId="77777777" w:rsidR="00276D43" w:rsidRPr="006144CE" w:rsidRDefault="00D7780D" w:rsidP="00276D43">
      <w:pPr>
        <w:rPr>
          <w:rFonts w:hint="eastAsia"/>
          <w:lang w:val="en-GB"/>
        </w:rPr>
      </w:pPr>
      <w:hyperlink r:id="rId9" w:history="1">
        <w:r w:rsidR="00276D43" w:rsidRPr="00276D43">
          <w:rPr>
            <w:rStyle w:val="Hyperlink"/>
            <w:rFonts w:hint="eastAsia"/>
            <w:lang w:val="en-GB"/>
          </w:rPr>
          <w:t>https://www.sciencedirect.com/science/article/pii/S1470160X20312152</w:t>
        </w:r>
      </w:hyperlink>
    </w:p>
    <w:p w14:paraId="4BF27192" w14:textId="77777777" w:rsidR="00F119C7" w:rsidRPr="006144CE" w:rsidRDefault="00F119C7" w:rsidP="00276D43">
      <w:pPr>
        <w:rPr>
          <w:rFonts w:hint="eastAsia"/>
          <w:lang w:val="en-GB"/>
        </w:rPr>
      </w:pPr>
    </w:p>
    <w:p w14:paraId="2EFBC2A2" w14:textId="77777777" w:rsidR="00F119C7" w:rsidRPr="006144CE" w:rsidRDefault="00F119C7" w:rsidP="00F119C7">
      <w:pPr>
        <w:rPr>
          <w:rFonts w:hint="eastAsia"/>
        </w:rPr>
      </w:pPr>
      <w:r>
        <w:rPr>
          <w:lang w:val="en-GB"/>
        </w:rPr>
        <w:t xml:space="preserve">Janine Oettel et al.: </w:t>
      </w:r>
      <w:r w:rsidRPr="00D87655">
        <w:rPr>
          <w:rFonts w:hint="eastAsia"/>
          <w:lang w:val="en-GB"/>
        </w:rPr>
        <w:t>Patterns and drivers of deadwood volume and composition in different forest types of the Austrian natural forest reserves</w:t>
      </w:r>
      <w:r>
        <w:rPr>
          <w:lang w:val="en-GB"/>
        </w:rPr>
        <w:t xml:space="preserve">. </w:t>
      </w:r>
      <w:hyperlink r:id="rId10" w:history="1">
        <w:r w:rsidRPr="006144CE">
          <w:rPr>
            <w:rStyle w:val="Hyperlink"/>
            <w:rFonts w:hint="eastAsia"/>
          </w:rPr>
          <w:t>https://www.sciencedirect.com/science/article/pii/S0378112720303856</w:t>
        </w:r>
      </w:hyperlink>
    </w:p>
    <w:p w14:paraId="0B669D77" w14:textId="77777777" w:rsidR="006E5C7B" w:rsidRPr="006144CE" w:rsidRDefault="006E5C7B" w:rsidP="006E5C7B">
      <w:pPr>
        <w:rPr>
          <w:rFonts w:hint="eastAsia"/>
        </w:rPr>
      </w:pPr>
    </w:p>
    <w:p w14:paraId="7AB3A52F" w14:textId="77777777" w:rsidR="00D87655" w:rsidRPr="006144CE" w:rsidRDefault="00D87655">
      <w:pPr>
        <w:rPr>
          <w:rFonts w:hint="eastAsia"/>
        </w:rPr>
      </w:pPr>
    </w:p>
    <w:p w14:paraId="58D4FCCD" w14:textId="77777777" w:rsidR="00073B9F" w:rsidRPr="006E5C7B" w:rsidRDefault="00B6592A">
      <w:pPr>
        <w:rPr>
          <w:rFonts w:hint="eastAsia"/>
        </w:rPr>
      </w:pPr>
      <w:r>
        <w:t>Rückfragen an:</w:t>
      </w:r>
    </w:p>
    <w:p w14:paraId="7DF320B5" w14:textId="77777777" w:rsidR="00073B9F" w:rsidRPr="006144CE" w:rsidRDefault="00B6592A">
      <w:pPr>
        <w:rPr>
          <w:rFonts w:hint="eastAsia"/>
          <w:lang w:val="en-GB"/>
        </w:rPr>
      </w:pPr>
      <w:r w:rsidRPr="006144CE">
        <w:rPr>
          <w:lang w:val="en-GB"/>
        </w:rPr>
        <w:t xml:space="preserve">Freya-Isabel Georges, </w:t>
      </w:r>
      <w:hyperlink r:id="rId11">
        <w:r w:rsidRPr="006144CE">
          <w:rPr>
            <w:rStyle w:val="Internetverknpfung"/>
            <w:lang w:val="en-GB"/>
          </w:rPr>
          <w:t>freya-isabel.georges@bfw.gv.at</w:t>
        </w:r>
      </w:hyperlink>
      <w:hyperlink>
        <w:r w:rsidRPr="006144CE">
          <w:rPr>
            <w:lang w:val="en-GB"/>
          </w:rPr>
          <w:t>, 01 87838 – 1351</w:t>
        </w:r>
      </w:hyperlink>
    </w:p>
    <w:p w14:paraId="733AB098" w14:textId="77777777" w:rsidR="00652FFB" w:rsidRPr="00652FFB" w:rsidRDefault="00652FFB">
      <w:pPr>
        <w:rPr>
          <w:rFonts w:hint="eastAsia"/>
          <w:lang w:val="en-GB"/>
        </w:rPr>
      </w:pPr>
      <w:r w:rsidRPr="00652FFB">
        <w:rPr>
          <w:lang w:val="en-GB"/>
        </w:rPr>
        <w:t xml:space="preserve">Christian Lackner, </w:t>
      </w:r>
      <w:hyperlink r:id="rId12" w:history="1">
        <w:r w:rsidRPr="00652FFB">
          <w:rPr>
            <w:rStyle w:val="Hyperlink"/>
            <w:lang w:val="en-GB"/>
          </w:rPr>
          <w:t>christian.lackner@bfw.gv.at</w:t>
        </w:r>
      </w:hyperlink>
      <w:r w:rsidRPr="00652FFB">
        <w:rPr>
          <w:lang w:val="en-GB"/>
        </w:rPr>
        <w:t>, 0664 8412702</w:t>
      </w:r>
    </w:p>
    <w:p w14:paraId="2D95A657" w14:textId="77777777" w:rsidR="00652FFB" w:rsidRPr="00652FFB" w:rsidRDefault="00652FFB">
      <w:pPr>
        <w:rPr>
          <w:rFonts w:hint="eastAsia"/>
          <w:lang w:val="en-GB"/>
        </w:rPr>
      </w:pPr>
    </w:p>
    <w:p w14:paraId="611B1977" w14:textId="77777777" w:rsidR="00652FFB" w:rsidRPr="00652FFB" w:rsidRDefault="00DB4C70">
      <w:pPr>
        <w:rPr>
          <w:rFonts w:hint="eastAsia"/>
          <w:i/>
          <w:sz w:val="20"/>
          <w:szCs w:val="20"/>
        </w:rPr>
      </w:pPr>
      <w:r>
        <w:rPr>
          <w:i/>
          <w:sz w:val="20"/>
          <w:szCs w:val="20"/>
        </w:rPr>
        <w:t>Wien, 24</w:t>
      </w:r>
      <w:r w:rsidR="00652FFB" w:rsidRPr="00652FFB">
        <w:rPr>
          <w:i/>
          <w:sz w:val="20"/>
          <w:szCs w:val="20"/>
        </w:rPr>
        <w:t>.8.2021</w:t>
      </w:r>
    </w:p>
    <w:p w14:paraId="67ACDD78" w14:textId="77777777" w:rsidR="00073B9F" w:rsidRDefault="00073B9F">
      <w:pPr>
        <w:rPr>
          <w:rFonts w:hint="eastAsia"/>
        </w:rPr>
      </w:pPr>
    </w:p>
    <w:p w14:paraId="6DB92C5E" w14:textId="77777777" w:rsidR="00073B9F" w:rsidRDefault="00073B9F">
      <w:pPr>
        <w:rPr>
          <w:rFonts w:hint="eastAsia"/>
        </w:rPr>
      </w:pPr>
    </w:p>
    <w:p w14:paraId="73E801F0" w14:textId="77777777" w:rsidR="00073B9F" w:rsidRDefault="00073B9F">
      <w:pPr>
        <w:rPr>
          <w:rFonts w:hint="eastAsia"/>
          <w:shd w:val="clear" w:color="auto" w:fill="FFFF00"/>
        </w:rPr>
      </w:pPr>
    </w:p>
    <w:p w14:paraId="269F54B1" w14:textId="77777777" w:rsidR="009049BD" w:rsidRDefault="009049BD">
      <w:pPr>
        <w:rPr>
          <w:rFonts w:hint="eastAsia"/>
          <w:shd w:val="clear" w:color="auto" w:fill="FFFF00"/>
        </w:rPr>
      </w:pPr>
    </w:p>
    <w:p w14:paraId="4980D18F" w14:textId="77777777" w:rsidR="009049BD" w:rsidRDefault="009049BD">
      <w:pPr>
        <w:rPr>
          <w:rFonts w:hint="eastAsia"/>
          <w:shd w:val="clear" w:color="auto" w:fill="FFFF00"/>
        </w:rPr>
      </w:pPr>
    </w:p>
    <w:p w14:paraId="6DF42AD2" w14:textId="77777777" w:rsidR="009049BD" w:rsidRDefault="009049BD">
      <w:pPr>
        <w:rPr>
          <w:rFonts w:hint="eastAsia"/>
          <w:shd w:val="clear" w:color="auto" w:fill="FFFF00"/>
        </w:rPr>
      </w:pPr>
    </w:p>
    <w:sectPr w:rsidR="009049BD" w:rsidSect="00C5055D">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TSerif-Regular">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F"/>
    <w:rsid w:val="00054932"/>
    <w:rsid w:val="00073B9F"/>
    <w:rsid w:val="00230F57"/>
    <w:rsid w:val="00276D43"/>
    <w:rsid w:val="00281664"/>
    <w:rsid w:val="002A0D42"/>
    <w:rsid w:val="002D6858"/>
    <w:rsid w:val="004114C0"/>
    <w:rsid w:val="004400DF"/>
    <w:rsid w:val="005047DC"/>
    <w:rsid w:val="006144CE"/>
    <w:rsid w:val="00652FFB"/>
    <w:rsid w:val="006E5C7B"/>
    <w:rsid w:val="007A741C"/>
    <w:rsid w:val="007F68DD"/>
    <w:rsid w:val="008355C5"/>
    <w:rsid w:val="009049BD"/>
    <w:rsid w:val="00922EE4"/>
    <w:rsid w:val="009C7982"/>
    <w:rsid w:val="00A61556"/>
    <w:rsid w:val="00B6592A"/>
    <w:rsid w:val="00C5055D"/>
    <w:rsid w:val="00D01688"/>
    <w:rsid w:val="00D7780D"/>
    <w:rsid w:val="00D87655"/>
    <w:rsid w:val="00DB4C70"/>
    <w:rsid w:val="00F119C7"/>
    <w:rsid w:val="00F176E3"/>
    <w:rsid w:val="00F732D6"/>
    <w:rsid w:val="00FB4F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52CC"/>
  <w15:docId w15:val="{A7DEF85A-7031-4442-A74E-3D6A7EFF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5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C5055D"/>
    <w:rPr>
      <w:color w:val="000080"/>
      <w:u w:val="single"/>
    </w:rPr>
  </w:style>
  <w:style w:type="paragraph" w:customStyle="1" w:styleId="berschrift">
    <w:name w:val="Überschrift"/>
    <w:basedOn w:val="Standard"/>
    <w:next w:val="Textkrper"/>
    <w:qFormat/>
    <w:rsid w:val="00C5055D"/>
    <w:pPr>
      <w:keepNext/>
      <w:spacing w:before="240" w:after="120"/>
    </w:pPr>
    <w:rPr>
      <w:rFonts w:ascii="Liberation Sans" w:eastAsia="Microsoft YaHei" w:hAnsi="Liberation Sans"/>
      <w:sz w:val="28"/>
      <w:szCs w:val="28"/>
    </w:rPr>
  </w:style>
  <w:style w:type="paragraph" w:styleId="Textkrper">
    <w:name w:val="Body Text"/>
    <w:basedOn w:val="Standard"/>
    <w:rsid w:val="00C5055D"/>
    <w:pPr>
      <w:spacing w:after="140" w:line="276" w:lineRule="auto"/>
    </w:pPr>
  </w:style>
  <w:style w:type="paragraph" w:styleId="Liste">
    <w:name w:val="List"/>
    <w:basedOn w:val="Textkrper"/>
    <w:rsid w:val="00C5055D"/>
  </w:style>
  <w:style w:type="paragraph" w:styleId="Beschriftung">
    <w:name w:val="caption"/>
    <w:basedOn w:val="Standard"/>
    <w:qFormat/>
    <w:rsid w:val="00C5055D"/>
    <w:pPr>
      <w:suppressLineNumbers/>
      <w:spacing w:before="120" w:after="120"/>
    </w:pPr>
    <w:rPr>
      <w:i/>
      <w:iCs/>
    </w:rPr>
  </w:style>
  <w:style w:type="paragraph" w:customStyle="1" w:styleId="Verzeichnis">
    <w:name w:val="Verzeichnis"/>
    <w:basedOn w:val="Standard"/>
    <w:qFormat/>
    <w:rsid w:val="00C5055D"/>
    <w:pPr>
      <w:suppressLineNumbers/>
    </w:pPr>
  </w:style>
  <w:style w:type="paragraph" w:styleId="Sprechblasentext">
    <w:name w:val="Balloon Text"/>
    <w:basedOn w:val="Standard"/>
    <w:link w:val="SprechblasentextZchn"/>
    <w:uiPriority w:val="99"/>
    <w:semiHidden/>
    <w:unhideWhenUsed/>
    <w:rsid w:val="00F176E3"/>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F176E3"/>
    <w:rPr>
      <w:rFonts w:ascii="Tahoma" w:hAnsi="Tahoma" w:cs="Mangal"/>
      <w:sz w:val="16"/>
      <w:szCs w:val="14"/>
    </w:rPr>
  </w:style>
  <w:style w:type="character" w:styleId="Hyperlink">
    <w:name w:val="Hyperlink"/>
    <w:basedOn w:val="Absatz-Standardschriftart"/>
    <w:uiPriority w:val="99"/>
    <w:unhideWhenUsed/>
    <w:rsid w:val="00652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6108">
      <w:bodyDiv w:val="1"/>
      <w:marLeft w:val="0"/>
      <w:marRight w:val="0"/>
      <w:marTop w:val="0"/>
      <w:marBottom w:val="0"/>
      <w:divBdr>
        <w:top w:val="none" w:sz="0" w:space="0" w:color="auto"/>
        <w:left w:val="none" w:sz="0" w:space="0" w:color="auto"/>
        <w:bottom w:val="none" w:sz="0" w:space="0" w:color="auto"/>
        <w:right w:val="none" w:sz="0" w:space="0" w:color="auto"/>
      </w:divBdr>
      <w:divsChild>
        <w:div w:id="1499148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colind.2020.10727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hristian.lackner@bfw.gv.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sa.at" TargetMode="External"/><Relationship Id="rId11" Type="http://schemas.openxmlformats.org/officeDocument/2006/relationships/hyperlink" Target="mailto:freya-isabel.georges@bfw.gv.at" TargetMode="External"/><Relationship Id="rId5" Type="http://schemas.openxmlformats.org/officeDocument/2006/relationships/hyperlink" Target="http://www.bfw.gv.at/" TargetMode="External"/><Relationship Id="rId10" Type="http://schemas.openxmlformats.org/officeDocument/2006/relationships/hyperlink" Target="https://www.sciencedirect.com/science/article/pii/S0378112720303856" TargetMode="External"/><Relationship Id="rId4" Type="http://schemas.openxmlformats.org/officeDocument/2006/relationships/image" Target="media/image1.jpeg"/><Relationship Id="rId9" Type="http://schemas.openxmlformats.org/officeDocument/2006/relationships/hyperlink" Target="https://www.sciencedirect.com/science/article/pii/S1470160X20312152"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Haslinger</dc:creator>
  <cp:lastModifiedBy>Renate Haslinger</cp:lastModifiedBy>
  <cp:revision>2</cp:revision>
  <dcterms:created xsi:type="dcterms:W3CDTF">2021-08-26T14:59:00Z</dcterms:created>
  <dcterms:modified xsi:type="dcterms:W3CDTF">2021-08-26T14:59:00Z</dcterms:modified>
  <dc:language>de-AT</dc:language>
</cp:coreProperties>
</file>